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26BB8" w14:textId="77777777" w:rsidR="00C41D8B" w:rsidRPr="00B73943" w:rsidRDefault="00B73943">
      <w:pPr>
        <w:rPr>
          <w:rFonts w:ascii="Book Antiqua" w:hAnsi="Book Antiqua"/>
          <w:b/>
          <w:sz w:val="24"/>
          <w:szCs w:val="24"/>
        </w:rPr>
      </w:pPr>
      <w:r w:rsidRPr="00B73943">
        <w:rPr>
          <w:rFonts w:ascii="Book Antiqua" w:hAnsi="Book Antiqua"/>
          <w:b/>
          <w:sz w:val="24"/>
          <w:szCs w:val="24"/>
        </w:rPr>
        <w:t>Dolphin Sands Ratepayers Association Inc (DSRA)</w:t>
      </w:r>
    </w:p>
    <w:p w14:paraId="246B3B33" w14:textId="77777777" w:rsidR="00B73943" w:rsidRPr="00B73943" w:rsidRDefault="00B73943">
      <w:pPr>
        <w:rPr>
          <w:rFonts w:ascii="Book Antiqua" w:hAnsi="Book Antiqua"/>
          <w:b/>
          <w:sz w:val="24"/>
          <w:szCs w:val="24"/>
        </w:rPr>
      </w:pPr>
      <w:r w:rsidRPr="00B73943">
        <w:rPr>
          <w:rFonts w:ascii="Book Antiqua" w:hAnsi="Book Antiqua"/>
          <w:b/>
          <w:sz w:val="24"/>
          <w:szCs w:val="24"/>
        </w:rPr>
        <w:t>DSRA Constitution Review</w:t>
      </w:r>
    </w:p>
    <w:p w14:paraId="40CAE6B3" w14:textId="77777777" w:rsidR="00B73943" w:rsidRDefault="00B73943">
      <w:pPr>
        <w:rPr>
          <w:rFonts w:ascii="Book Antiqua" w:hAnsi="Book Antiqua"/>
          <w:b/>
          <w:sz w:val="24"/>
          <w:szCs w:val="24"/>
        </w:rPr>
      </w:pPr>
      <w:r w:rsidRPr="00B73943">
        <w:rPr>
          <w:rFonts w:ascii="Book Antiqua" w:hAnsi="Book Antiqua"/>
          <w:b/>
          <w:sz w:val="24"/>
          <w:szCs w:val="24"/>
        </w:rPr>
        <w:t>Discussion Paper</w:t>
      </w:r>
    </w:p>
    <w:p w14:paraId="43012C55" w14:textId="77777777" w:rsidR="00B73943" w:rsidRDefault="00B73943">
      <w:pPr>
        <w:rPr>
          <w:rFonts w:ascii="Book Antiqua" w:hAnsi="Book Antiqua"/>
          <w:b/>
          <w:sz w:val="24"/>
          <w:szCs w:val="24"/>
        </w:rPr>
      </w:pPr>
    </w:p>
    <w:p w14:paraId="1F0E8169" w14:textId="77777777" w:rsidR="00B73943" w:rsidRPr="00B73943" w:rsidRDefault="00B73943">
      <w:pPr>
        <w:rPr>
          <w:rFonts w:ascii="Book Antiqua" w:hAnsi="Book Antiqua"/>
          <w:b/>
          <w:sz w:val="24"/>
          <w:szCs w:val="24"/>
        </w:rPr>
      </w:pPr>
      <w:r w:rsidRPr="00B73943">
        <w:rPr>
          <w:rFonts w:ascii="Book Antiqua" w:hAnsi="Book Antiqua"/>
          <w:b/>
          <w:sz w:val="24"/>
          <w:szCs w:val="24"/>
        </w:rPr>
        <w:t>Terms of Reference</w:t>
      </w:r>
    </w:p>
    <w:p w14:paraId="0A876C65" w14:textId="77777777" w:rsidR="00B73943" w:rsidRDefault="00B73943">
      <w:pPr>
        <w:rPr>
          <w:rFonts w:ascii="Book Antiqua" w:hAnsi="Book Antiqua"/>
          <w:sz w:val="24"/>
          <w:szCs w:val="24"/>
        </w:rPr>
      </w:pPr>
      <w:r>
        <w:rPr>
          <w:rFonts w:ascii="Book Antiqua" w:hAnsi="Book Antiqua"/>
          <w:sz w:val="24"/>
          <w:szCs w:val="24"/>
        </w:rPr>
        <w:t>At the GM held on 27 January 2018 it was resolved that the DSRA Constitution be reviewed and proposals for amendment be developed.</w:t>
      </w:r>
    </w:p>
    <w:p w14:paraId="08560A9A" w14:textId="77777777" w:rsidR="00B73943" w:rsidRDefault="00B73943">
      <w:pPr>
        <w:rPr>
          <w:rFonts w:ascii="Book Antiqua" w:hAnsi="Book Antiqua"/>
          <w:sz w:val="24"/>
          <w:szCs w:val="24"/>
        </w:rPr>
      </w:pPr>
      <w:r>
        <w:rPr>
          <w:rFonts w:ascii="Book Antiqua" w:hAnsi="Book Antiqua"/>
          <w:sz w:val="24"/>
          <w:szCs w:val="24"/>
        </w:rPr>
        <w:t xml:space="preserve">A working party comprised of Robyn Moore, Leigh Sealy </w:t>
      </w:r>
      <w:r w:rsidR="008E4561">
        <w:rPr>
          <w:rFonts w:ascii="Book Antiqua" w:hAnsi="Book Antiqua"/>
          <w:sz w:val="24"/>
          <w:szCs w:val="24"/>
        </w:rPr>
        <w:t xml:space="preserve">and Brett Harrison </w:t>
      </w:r>
      <w:r>
        <w:rPr>
          <w:rFonts w:ascii="Book Antiqua" w:hAnsi="Book Antiqua"/>
          <w:sz w:val="24"/>
          <w:szCs w:val="24"/>
        </w:rPr>
        <w:t>was established.</w:t>
      </w:r>
    </w:p>
    <w:p w14:paraId="67E17A5A" w14:textId="77777777" w:rsidR="00B73943" w:rsidRDefault="00B73943">
      <w:pPr>
        <w:rPr>
          <w:rFonts w:ascii="Book Antiqua" w:hAnsi="Book Antiqua"/>
          <w:sz w:val="24"/>
          <w:szCs w:val="24"/>
        </w:rPr>
      </w:pPr>
      <w:r>
        <w:rPr>
          <w:rFonts w:ascii="Book Antiqua" w:hAnsi="Book Antiqua"/>
          <w:sz w:val="24"/>
          <w:szCs w:val="24"/>
        </w:rPr>
        <w:t>A full copy of the terms of reference is annexed and marked “A”.</w:t>
      </w:r>
    </w:p>
    <w:p w14:paraId="501FC8AE" w14:textId="77777777" w:rsidR="00B73943" w:rsidRDefault="00B73943">
      <w:pPr>
        <w:rPr>
          <w:rFonts w:ascii="Book Antiqua" w:hAnsi="Book Antiqua"/>
          <w:sz w:val="24"/>
          <w:szCs w:val="24"/>
        </w:rPr>
      </w:pPr>
    </w:p>
    <w:p w14:paraId="6E6289F5" w14:textId="77777777" w:rsidR="00B73943" w:rsidRDefault="00B73943">
      <w:pPr>
        <w:rPr>
          <w:rFonts w:ascii="Book Antiqua" w:hAnsi="Book Antiqua"/>
          <w:b/>
          <w:sz w:val="24"/>
          <w:szCs w:val="24"/>
        </w:rPr>
      </w:pPr>
      <w:r w:rsidRPr="00B73943">
        <w:rPr>
          <w:rFonts w:ascii="Book Antiqua" w:hAnsi="Book Antiqua"/>
          <w:b/>
          <w:sz w:val="24"/>
          <w:szCs w:val="24"/>
        </w:rPr>
        <w:t>Statutory Framework</w:t>
      </w:r>
    </w:p>
    <w:p w14:paraId="55537889" w14:textId="77777777" w:rsidR="00AF3C55" w:rsidRPr="00AF3C55" w:rsidRDefault="00AF3C55">
      <w:pPr>
        <w:rPr>
          <w:rFonts w:ascii="Book Antiqua" w:hAnsi="Book Antiqua"/>
          <w:sz w:val="24"/>
          <w:szCs w:val="24"/>
        </w:rPr>
      </w:pPr>
      <w:r>
        <w:rPr>
          <w:rFonts w:ascii="Book Antiqua" w:hAnsi="Book Antiqua"/>
          <w:sz w:val="24"/>
          <w:szCs w:val="24"/>
        </w:rPr>
        <w:t>The relevant legislation and regulations governing an incorporated association are-</w:t>
      </w:r>
    </w:p>
    <w:p w14:paraId="7E43F569" w14:textId="77777777" w:rsidR="00B73943" w:rsidRDefault="008E4561">
      <w:pPr>
        <w:rPr>
          <w:rStyle w:val="Emphasis"/>
          <w:rFonts w:ascii="Book Antiqua" w:hAnsi="Book Antiqua"/>
          <w:i w:val="0"/>
        </w:rPr>
      </w:pPr>
      <w:r w:rsidRPr="008E4561">
        <w:rPr>
          <w:rStyle w:val="Emphasis"/>
          <w:rFonts w:ascii="Book Antiqua" w:hAnsi="Book Antiqua"/>
          <w:i w:val="0"/>
        </w:rPr>
        <w:t>Associations Incorporation Act 1964</w:t>
      </w:r>
      <w:r w:rsidR="006E4E58">
        <w:rPr>
          <w:rStyle w:val="Emphasis"/>
          <w:rFonts w:ascii="Book Antiqua" w:hAnsi="Book Antiqua"/>
          <w:i w:val="0"/>
        </w:rPr>
        <w:t xml:space="preserve"> (Act)</w:t>
      </w:r>
    </w:p>
    <w:p w14:paraId="102AAE97" w14:textId="77777777" w:rsidR="008E4561" w:rsidRDefault="008E4561">
      <w:pPr>
        <w:rPr>
          <w:rStyle w:val="Emphasis"/>
          <w:rFonts w:ascii="Book Antiqua" w:hAnsi="Book Antiqua"/>
          <w:i w:val="0"/>
        </w:rPr>
      </w:pPr>
      <w:r>
        <w:rPr>
          <w:rStyle w:val="Emphasis"/>
          <w:rFonts w:ascii="Book Antiqua" w:hAnsi="Book Antiqua"/>
          <w:i w:val="0"/>
        </w:rPr>
        <w:t>Associations Incorporation Regulations</w:t>
      </w:r>
      <w:r w:rsidR="006E4E58">
        <w:rPr>
          <w:rStyle w:val="Emphasis"/>
          <w:rFonts w:ascii="Book Antiqua" w:hAnsi="Book Antiqua"/>
          <w:i w:val="0"/>
        </w:rPr>
        <w:t xml:space="preserve"> (Regs)</w:t>
      </w:r>
    </w:p>
    <w:p w14:paraId="50788AA1" w14:textId="77777777" w:rsidR="008E4561" w:rsidRDefault="008E4561">
      <w:pPr>
        <w:rPr>
          <w:rStyle w:val="Emphasis"/>
          <w:rFonts w:ascii="Book Antiqua" w:hAnsi="Book Antiqua"/>
          <w:i w:val="0"/>
        </w:rPr>
      </w:pPr>
      <w:r>
        <w:rPr>
          <w:rStyle w:val="Emphasis"/>
          <w:rFonts w:ascii="Book Antiqua" w:hAnsi="Book Antiqua"/>
          <w:i w:val="0"/>
        </w:rPr>
        <w:t xml:space="preserve">Associations Incorporation (Model </w:t>
      </w:r>
      <w:r w:rsidR="00440C49">
        <w:rPr>
          <w:rStyle w:val="Emphasis"/>
          <w:rFonts w:ascii="Book Antiqua" w:hAnsi="Book Antiqua"/>
          <w:i w:val="0"/>
        </w:rPr>
        <w:t>Rules)</w:t>
      </w:r>
      <w:r>
        <w:rPr>
          <w:rStyle w:val="Emphasis"/>
          <w:rFonts w:ascii="Book Antiqua" w:hAnsi="Book Antiqua"/>
          <w:i w:val="0"/>
        </w:rPr>
        <w:t xml:space="preserve"> Regulations 2017</w:t>
      </w:r>
      <w:r w:rsidR="006E4E58">
        <w:rPr>
          <w:rStyle w:val="Emphasis"/>
          <w:rFonts w:ascii="Book Antiqua" w:hAnsi="Book Antiqua"/>
          <w:i w:val="0"/>
        </w:rPr>
        <w:t xml:space="preserve"> ( MRs)</w:t>
      </w:r>
    </w:p>
    <w:p w14:paraId="3B6B3009" w14:textId="77777777" w:rsidR="00AC59A0" w:rsidRDefault="00AC59A0">
      <w:pPr>
        <w:rPr>
          <w:rStyle w:val="Emphasis"/>
          <w:rFonts w:ascii="Book Antiqua" w:hAnsi="Book Antiqua"/>
          <w:i w:val="0"/>
        </w:rPr>
      </w:pPr>
      <w:r>
        <w:rPr>
          <w:rStyle w:val="Emphasis"/>
          <w:rFonts w:ascii="Book Antiqua" w:hAnsi="Book Antiqua"/>
          <w:i w:val="0"/>
        </w:rPr>
        <w:t>More information regarding incorporated associations can be found at the following site-</w:t>
      </w:r>
    </w:p>
    <w:p w14:paraId="1A1E922D" w14:textId="77777777" w:rsidR="00AF3C55" w:rsidRPr="00AC59A0" w:rsidRDefault="000F1377">
      <w:pPr>
        <w:rPr>
          <w:rStyle w:val="Emphasis"/>
          <w:rFonts w:ascii="Book Antiqua" w:hAnsi="Book Antiqua"/>
          <w:i w:val="0"/>
        </w:rPr>
      </w:pPr>
      <w:hyperlink r:id="rId5" w:history="1">
        <w:r w:rsidR="00AC59A0" w:rsidRPr="00A70440">
          <w:rPr>
            <w:rStyle w:val="Hyperlink"/>
            <w:rFonts w:ascii="Book Antiqua" w:hAnsi="Book Antiqua"/>
          </w:rPr>
          <w:t>http://www.consumer.tas.gov.au/registrations/incorporated_associations</w:t>
        </w:r>
      </w:hyperlink>
    </w:p>
    <w:p w14:paraId="21DA9813" w14:textId="77777777" w:rsidR="00AF3C55" w:rsidRDefault="00AF3C55">
      <w:pPr>
        <w:rPr>
          <w:rStyle w:val="Emphasis"/>
          <w:rFonts w:ascii="Book Antiqua" w:hAnsi="Book Antiqua"/>
          <w:b/>
          <w:i w:val="0"/>
        </w:rPr>
      </w:pPr>
      <w:r w:rsidRPr="00AF3C55">
        <w:rPr>
          <w:rStyle w:val="Emphasis"/>
          <w:rFonts w:ascii="Book Antiqua" w:hAnsi="Book Antiqua"/>
          <w:b/>
          <w:i w:val="0"/>
        </w:rPr>
        <w:t>Background</w:t>
      </w:r>
    </w:p>
    <w:p w14:paraId="5A08CE91" w14:textId="77777777" w:rsidR="00AF3C55" w:rsidRDefault="00AF3C55">
      <w:pPr>
        <w:rPr>
          <w:rStyle w:val="Emphasis"/>
          <w:rFonts w:ascii="Book Antiqua" w:hAnsi="Book Antiqua"/>
          <w:i w:val="0"/>
        </w:rPr>
      </w:pPr>
      <w:r>
        <w:rPr>
          <w:rStyle w:val="Emphasis"/>
          <w:rFonts w:ascii="Book Antiqua" w:hAnsi="Book Antiqua"/>
          <w:i w:val="0"/>
        </w:rPr>
        <w:t>Dolphin Sands Ratepayers Association Inc was incorporated on 10 December 2001</w:t>
      </w:r>
      <w:r w:rsidR="00C2716D">
        <w:rPr>
          <w:rStyle w:val="Emphasis"/>
          <w:rFonts w:ascii="Book Antiqua" w:hAnsi="Book Antiqua"/>
          <w:i w:val="0"/>
        </w:rPr>
        <w:t>.</w:t>
      </w:r>
    </w:p>
    <w:p w14:paraId="1EE97D53" w14:textId="77777777" w:rsidR="00C2716D" w:rsidRDefault="00C2716D">
      <w:pPr>
        <w:rPr>
          <w:rStyle w:val="Emphasis"/>
          <w:rFonts w:ascii="Book Antiqua" w:hAnsi="Book Antiqua"/>
          <w:i w:val="0"/>
        </w:rPr>
      </w:pPr>
      <w:r>
        <w:rPr>
          <w:rStyle w:val="Emphasis"/>
          <w:rFonts w:ascii="Book Antiqua" w:hAnsi="Book Antiqua"/>
          <w:i w:val="0"/>
        </w:rPr>
        <w:t xml:space="preserve">A copy of the </w:t>
      </w:r>
      <w:r w:rsidR="006E4E58">
        <w:rPr>
          <w:rStyle w:val="Emphasis"/>
          <w:rFonts w:ascii="Book Antiqua" w:hAnsi="Book Antiqua"/>
          <w:i w:val="0"/>
        </w:rPr>
        <w:t xml:space="preserve">original </w:t>
      </w:r>
      <w:r>
        <w:rPr>
          <w:rStyle w:val="Emphasis"/>
          <w:rFonts w:ascii="Book Antiqua" w:hAnsi="Book Antiqua"/>
          <w:i w:val="0"/>
        </w:rPr>
        <w:t>constitution lodged with the Commissioner for Corporate Affairs is annexed and marked “B”.</w:t>
      </w:r>
    </w:p>
    <w:p w14:paraId="7E799B29" w14:textId="77777777" w:rsidR="00C2716D" w:rsidRDefault="00C2716D">
      <w:pPr>
        <w:rPr>
          <w:rStyle w:val="Emphasis"/>
          <w:rFonts w:ascii="Book Antiqua" w:hAnsi="Book Antiqua"/>
          <w:i w:val="0"/>
        </w:rPr>
      </w:pPr>
      <w:r>
        <w:rPr>
          <w:rStyle w:val="Emphasis"/>
          <w:rFonts w:ascii="Book Antiqua" w:hAnsi="Book Antiqua"/>
          <w:i w:val="0"/>
        </w:rPr>
        <w:t>A copy of the Association Extract</w:t>
      </w:r>
      <w:r w:rsidR="006E4E58">
        <w:rPr>
          <w:rStyle w:val="Emphasis"/>
          <w:rFonts w:ascii="Book Antiqua" w:hAnsi="Book Antiqua"/>
          <w:i w:val="0"/>
        </w:rPr>
        <w:t>, recently obtained,</w:t>
      </w:r>
      <w:r>
        <w:rPr>
          <w:rStyle w:val="Emphasis"/>
          <w:rFonts w:ascii="Book Antiqua" w:hAnsi="Book Antiqua"/>
          <w:i w:val="0"/>
        </w:rPr>
        <w:t xml:space="preserve"> which amongst other matters records all documents lodged with the Commissioner is annexed and marked with the “C”</w:t>
      </w:r>
      <w:r w:rsidR="006E4E58">
        <w:rPr>
          <w:rStyle w:val="Emphasis"/>
          <w:rFonts w:ascii="Book Antiqua" w:hAnsi="Book Antiqua"/>
          <w:i w:val="0"/>
        </w:rPr>
        <w:t>.</w:t>
      </w:r>
    </w:p>
    <w:p w14:paraId="1A427513" w14:textId="77777777" w:rsidR="006E4E58" w:rsidRDefault="006E4E58">
      <w:pPr>
        <w:rPr>
          <w:rStyle w:val="Emphasis"/>
          <w:rFonts w:ascii="Book Antiqua" w:hAnsi="Book Antiqua"/>
          <w:i w:val="0"/>
        </w:rPr>
      </w:pPr>
      <w:r>
        <w:rPr>
          <w:rStyle w:val="Emphasis"/>
          <w:rFonts w:ascii="Book Antiqua" w:hAnsi="Book Antiqua"/>
          <w:i w:val="0"/>
        </w:rPr>
        <w:t>Annexed and marked “D” is a copy of the constitution provided by the former committee and believed by all parties</w:t>
      </w:r>
      <w:r w:rsidR="00C02C54">
        <w:rPr>
          <w:rStyle w:val="Emphasis"/>
          <w:rFonts w:ascii="Book Antiqua" w:hAnsi="Book Antiqua"/>
          <w:i w:val="0"/>
        </w:rPr>
        <w:t xml:space="preserve"> to be the “current constitution” as amended. The current constitution has a number of references to amended clauses and the date of the amendments.</w:t>
      </w:r>
    </w:p>
    <w:p w14:paraId="02921314" w14:textId="77777777" w:rsidR="00C02C54" w:rsidRDefault="00C02C54">
      <w:pPr>
        <w:rPr>
          <w:rStyle w:val="Emphasis"/>
          <w:rFonts w:ascii="Book Antiqua" w:hAnsi="Book Antiqua"/>
          <w:i w:val="0"/>
        </w:rPr>
      </w:pPr>
      <w:r>
        <w:rPr>
          <w:rStyle w:val="Emphasis"/>
          <w:rFonts w:ascii="Book Antiqua" w:hAnsi="Book Antiqua"/>
          <w:i w:val="0"/>
        </w:rPr>
        <w:t>The Extract at annexure “C” appears to only refer to documents lodged amending the financial year of DSRA.</w:t>
      </w:r>
    </w:p>
    <w:p w14:paraId="38F28A15" w14:textId="77777777" w:rsidR="00C02C54" w:rsidRDefault="00C02C54">
      <w:pPr>
        <w:rPr>
          <w:rStyle w:val="Emphasis"/>
          <w:rFonts w:ascii="Book Antiqua" w:hAnsi="Book Antiqua"/>
          <w:i w:val="0"/>
        </w:rPr>
      </w:pPr>
      <w:r>
        <w:rPr>
          <w:rStyle w:val="Emphasis"/>
          <w:rFonts w:ascii="Book Antiqua" w:hAnsi="Book Antiqua"/>
          <w:i w:val="0"/>
        </w:rPr>
        <w:lastRenderedPageBreak/>
        <w:t>Pursuant to s18 of the Act, the Rules (read constitution) can only be changed by special resolution and any amendment to the Rules must be lodged with the Commissioner within one month of alteration. Unless lodged with the Commissioner an amendment to a constitution has no effect.</w:t>
      </w:r>
    </w:p>
    <w:p w14:paraId="4BA81ABA" w14:textId="77777777" w:rsidR="00C02C54" w:rsidRDefault="00C02C54">
      <w:pPr>
        <w:rPr>
          <w:rStyle w:val="Emphasis"/>
          <w:rFonts w:ascii="Book Antiqua" w:hAnsi="Book Antiqua"/>
          <w:i w:val="0"/>
        </w:rPr>
      </w:pPr>
      <w:r>
        <w:rPr>
          <w:rStyle w:val="Emphasis"/>
          <w:rFonts w:ascii="Book Antiqua" w:hAnsi="Book Antiqua"/>
          <w:i w:val="0"/>
        </w:rPr>
        <w:t>It is not clear at the present time whether any of the amendments as shown in the “current constitution” apart fr</w:t>
      </w:r>
      <w:r w:rsidR="0029299E">
        <w:rPr>
          <w:rStyle w:val="Emphasis"/>
          <w:rFonts w:ascii="Book Antiqua" w:hAnsi="Book Antiqua"/>
          <w:i w:val="0"/>
        </w:rPr>
        <w:t>om</w:t>
      </w:r>
      <w:r>
        <w:rPr>
          <w:rStyle w:val="Emphasis"/>
          <w:rFonts w:ascii="Book Antiqua" w:hAnsi="Book Antiqua"/>
          <w:i w:val="0"/>
        </w:rPr>
        <w:t xml:space="preserve"> the change</w:t>
      </w:r>
      <w:r w:rsidR="0029299E">
        <w:rPr>
          <w:rStyle w:val="Emphasis"/>
          <w:rFonts w:ascii="Book Antiqua" w:hAnsi="Book Antiqua"/>
          <w:i w:val="0"/>
        </w:rPr>
        <w:t>s</w:t>
      </w:r>
      <w:r>
        <w:rPr>
          <w:rStyle w:val="Emphasis"/>
          <w:rFonts w:ascii="Book Antiqua" w:hAnsi="Book Antiqua"/>
          <w:i w:val="0"/>
        </w:rPr>
        <w:t xml:space="preserve"> of financial year have been lodged with the Commissioner.</w:t>
      </w:r>
    </w:p>
    <w:p w14:paraId="0B162CE9" w14:textId="77777777" w:rsidR="00C02C54" w:rsidRDefault="00C02C54">
      <w:pPr>
        <w:rPr>
          <w:rStyle w:val="Emphasis"/>
          <w:rFonts w:ascii="Book Antiqua" w:hAnsi="Book Antiqua"/>
          <w:i w:val="0"/>
        </w:rPr>
      </w:pPr>
      <w:r>
        <w:rPr>
          <w:rStyle w:val="Emphasis"/>
          <w:rFonts w:ascii="Book Antiqua" w:hAnsi="Book Antiqua"/>
          <w:i w:val="0"/>
        </w:rPr>
        <w:t xml:space="preserve">The original constitution </w:t>
      </w:r>
      <w:r w:rsidR="00DD13E1">
        <w:rPr>
          <w:rStyle w:val="Emphasis"/>
          <w:rFonts w:ascii="Book Antiqua" w:hAnsi="Book Antiqua"/>
          <w:i w:val="0"/>
        </w:rPr>
        <w:t>differs markedly in a</w:t>
      </w:r>
      <w:r>
        <w:rPr>
          <w:rStyle w:val="Emphasis"/>
          <w:rFonts w:ascii="Book Antiqua" w:hAnsi="Book Antiqua"/>
          <w:i w:val="0"/>
        </w:rPr>
        <w:t xml:space="preserve"> </w:t>
      </w:r>
      <w:r w:rsidR="0029299E">
        <w:rPr>
          <w:rStyle w:val="Emphasis"/>
          <w:rFonts w:ascii="Book Antiqua" w:hAnsi="Book Antiqua"/>
          <w:i w:val="0"/>
        </w:rPr>
        <w:t>n</w:t>
      </w:r>
      <w:r>
        <w:rPr>
          <w:rStyle w:val="Emphasis"/>
          <w:rFonts w:ascii="Book Antiqua" w:hAnsi="Book Antiqua"/>
          <w:i w:val="0"/>
        </w:rPr>
        <w:t>umber of areas from the “current constitution”.</w:t>
      </w:r>
      <w:r w:rsidR="007405AF">
        <w:rPr>
          <w:rStyle w:val="Emphasis"/>
          <w:rFonts w:ascii="Book Antiqua" w:hAnsi="Book Antiqua"/>
          <w:i w:val="0"/>
        </w:rPr>
        <w:t xml:space="preserve"> See for example the different Office Bearers specified in each version of the constitution. Also see the audit requirement in the original constitution along with different clauses relating to dissolution.</w:t>
      </w:r>
    </w:p>
    <w:p w14:paraId="6CC5AA3A" w14:textId="77777777" w:rsidR="0029299E" w:rsidRDefault="0029299E">
      <w:pPr>
        <w:rPr>
          <w:rStyle w:val="Emphasis"/>
          <w:rFonts w:ascii="Book Antiqua" w:hAnsi="Book Antiqua"/>
          <w:i w:val="0"/>
        </w:rPr>
      </w:pPr>
      <w:r>
        <w:rPr>
          <w:rStyle w:val="Emphasis"/>
          <w:rFonts w:ascii="Book Antiqua" w:hAnsi="Book Antiqua"/>
          <w:i w:val="0"/>
        </w:rPr>
        <w:t xml:space="preserve">It is not possible at the present </w:t>
      </w:r>
      <w:r w:rsidR="00DD13E1">
        <w:rPr>
          <w:rStyle w:val="Emphasis"/>
          <w:rFonts w:ascii="Book Antiqua" w:hAnsi="Book Antiqua"/>
          <w:i w:val="0"/>
        </w:rPr>
        <w:t xml:space="preserve">time </w:t>
      </w:r>
      <w:r>
        <w:rPr>
          <w:rStyle w:val="Emphasis"/>
          <w:rFonts w:ascii="Book Antiqua" w:hAnsi="Book Antiqua"/>
          <w:i w:val="0"/>
        </w:rPr>
        <w:t>to trace all of the amendments as noted in the “current constitution” nor is it known whether clause 11 of the constitution as it relates to amendment of the constitution has been complied with.</w:t>
      </w:r>
    </w:p>
    <w:p w14:paraId="76206D20" w14:textId="77777777" w:rsidR="0029299E" w:rsidRDefault="0029299E">
      <w:pPr>
        <w:rPr>
          <w:rStyle w:val="Emphasis"/>
          <w:rFonts w:ascii="Book Antiqua" w:hAnsi="Book Antiqua"/>
          <w:i w:val="0"/>
        </w:rPr>
      </w:pPr>
      <w:r>
        <w:rPr>
          <w:rStyle w:val="Emphasis"/>
          <w:rFonts w:ascii="Book Antiqua" w:hAnsi="Book Antiqua"/>
          <w:i w:val="0"/>
        </w:rPr>
        <w:t>A further issue arises as to the validity of clause 11 of the constitution and any amendments of the constitution made pursuant to that clause.</w:t>
      </w:r>
    </w:p>
    <w:p w14:paraId="550760C8" w14:textId="77777777" w:rsidR="0029299E" w:rsidRDefault="0029299E">
      <w:pPr>
        <w:rPr>
          <w:rStyle w:val="Emphasis"/>
          <w:rFonts w:ascii="Book Antiqua" w:hAnsi="Book Antiqua"/>
          <w:i w:val="0"/>
        </w:rPr>
      </w:pPr>
      <w:r>
        <w:rPr>
          <w:rStyle w:val="Emphasis"/>
          <w:rFonts w:ascii="Book Antiqua" w:hAnsi="Book Antiqua"/>
          <w:i w:val="0"/>
        </w:rPr>
        <w:t>Section 18 of the Act specifies that any Rules of an association may be modified only by special resolution. Section 23 of the Act states that a resolution is a special resolution</w:t>
      </w:r>
      <w:r w:rsidR="00274CC1">
        <w:rPr>
          <w:rStyle w:val="Emphasis"/>
          <w:rFonts w:ascii="Book Antiqua" w:hAnsi="Book Antiqua"/>
          <w:i w:val="0"/>
        </w:rPr>
        <w:t xml:space="preserve"> if it is passed by a majority of not less than three-quarters of such members of an association as may be present in person at a general meeting.</w:t>
      </w:r>
    </w:p>
    <w:p w14:paraId="1718B1C0" w14:textId="77777777" w:rsidR="00274CC1" w:rsidRDefault="00274CC1">
      <w:pPr>
        <w:rPr>
          <w:rStyle w:val="Emphasis"/>
          <w:rFonts w:ascii="Book Antiqua" w:hAnsi="Book Antiqua"/>
          <w:i w:val="0"/>
        </w:rPr>
      </w:pPr>
      <w:r>
        <w:rPr>
          <w:rStyle w:val="Emphasis"/>
          <w:rFonts w:ascii="Book Antiqua" w:hAnsi="Book Antiqua"/>
          <w:i w:val="0"/>
        </w:rPr>
        <w:t>Clause 11 of the constitution refers to only a majority of two-thirds being required to pass an amendment to the constitution. Arguably clause 11 is ultra vires the Act. That is the constitution cannot purport to alter the Act.</w:t>
      </w:r>
    </w:p>
    <w:p w14:paraId="2967C51B" w14:textId="77777777" w:rsidR="00274CC1" w:rsidRPr="00274CC1" w:rsidRDefault="00274CC1">
      <w:pPr>
        <w:rPr>
          <w:rStyle w:val="Emphasis"/>
          <w:rFonts w:ascii="Book Antiqua" w:hAnsi="Book Antiqua"/>
          <w:b/>
          <w:i w:val="0"/>
        </w:rPr>
      </w:pPr>
      <w:r w:rsidRPr="00274CC1">
        <w:rPr>
          <w:rStyle w:val="Emphasis"/>
          <w:rFonts w:ascii="Book Antiqua" w:hAnsi="Book Antiqua"/>
          <w:b/>
          <w:i w:val="0"/>
        </w:rPr>
        <w:t>Model Rules</w:t>
      </w:r>
    </w:p>
    <w:p w14:paraId="0D0152AF" w14:textId="77777777" w:rsidR="007405AF" w:rsidRDefault="00FA3BAA">
      <w:pPr>
        <w:rPr>
          <w:rStyle w:val="Emphasis"/>
          <w:rFonts w:ascii="Book Antiqua" w:hAnsi="Book Antiqua"/>
          <w:i w:val="0"/>
        </w:rPr>
      </w:pPr>
      <w:r>
        <w:rPr>
          <w:rStyle w:val="Emphasis"/>
          <w:rFonts w:ascii="Book Antiqua" w:hAnsi="Book Antiqua"/>
          <w:i w:val="0"/>
        </w:rPr>
        <w:t>The Act and the MRs have been established to assist and guide associations which seek to be incorporated . Associations are not required to build their rules from the ground up, they can adopt and modify the MRs.</w:t>
      </w:r>
    </w:p>
    <w:p w14:paraId="06CDCE0F" w14:textId="77777777" w:rsidR="00FA3BAA" w:rsidRDefault="00FA3BAA">
      <w:pPr>
        <w:rPr>
          <w:rStyle w:val="Emphasis"/>
          <w:rFonts w:ascii="Book Antiqua" w:hAnsi="Book Antiqua"/>
          <w:i w:val="0"/>
        </w:rPr>
      </w:pPr>
      <w:r>
        <w:rPr>
          <w:rStyle w:val="Emphasis"/>
          <w:rFonts w:ascii="Book Antiqua" w:hAnsi="Book Antiqua"/>
          <w:i w:val="0"/>
        </w:rPr>
        <w:t>Pursuant to section 16 of the Act unless an associations constitution is inconsistent with the MRs or unless the constitution excludes or modifies the MRs then the MRs are deem</w:t>
      </w:r>
      <w:r w:rsidR="00922A26">
        <w:rPr>
          <w:rStyle w:val="Emphasis"/>
          <w:rFonts w:ascii="Book Antiqua" w:hAnsi="Book Antiqua"/>
          <w:i w:val="0"/>
        </w:rPr>
        <w:t>e</w:t>
      </w:r>
      <w:r>
        <w:rPr>
          <w:rStyle w:val="Emphasis"/>
          <w:rFonts w:ascii="Book Antiqua" w:hAnsi="Book Antiqua"/>
          <w:i w:val="0"/>
        </w:rPr>
        <w:t>d to form part of the constitution.</w:t>
      </w:r>
    </w:p>
    <w:p w14:paraId="2066B7B2" w14:textId="77777777" w:rsidR="006E4E58" w:rsidRDefault="00FA3BAA">
      <w:pPr>
        <w:rPr>
          <w:rStyle w:val="Emphasis"/>
          <w:rFonts w:ascii="Book Antiqua" w:hAnsi="Book Antiqua"/>
          <w:i w:val="0"/>
        </w:rPr>
      </w:pPr>
      <w:r>
        <w:rPr>
          <w:rStyle w:val="Emphasis"/>
          <w:rFonts w:ascii="Book Antiqua" w:hAnsi="Book Antiqua"/>
          <w:i w:val="0"/>
        </w:rPr>
        <w:t>On that basis the MRs apply to DSRA in addition to the terms of the constitution. There are no exclusions of the MRs in the DSRA constitution. To the extent that the DSRA constitution differs from the MRS then the DSRA constitution prevails.</w:t>
      </w:r>
    </w:p>
    <w:p w14:paraId="1FA1DB84" w14:textId="77777777" w:rsidR="00FA3BAA" w:rsidRDefault="00FA3BAA">
      <w:pPr>
        <w:rPr>
          <w:rStyle w:val="Emphasis"/>
          <w:rFonts w:ascii="Book Antiqua" w:hAnsi="Book Antiqua"/>
          <w:i w:val="0"/>
        </w:rPr>
      </w:pPr>
      <w:r>
        <w:rPr>
          <w:rStyle w:val="Emphasis"/>
          <w:rFonts w:ascii="Book Antiqua" w:hAnsi="Book Antiqua"/>
          <w:i w:val="0"/>
        </w:rPr>
        <w:t xml:space="preserve">It is against this somewhat interesting </w:t>
      </w:r>
      <w:r w:rsidR="00440C49">
        <w:rPr>
          <w:rStyle w:val="Emphasis"/>
          <w:rFonts w:ascii="Book Antiqua" w:hAnsi="Book Antiqua"/>
          <w:i w:val="0"/>
        </w:rPr>
        <w:t xml:space="preserve">background </w:t>
      </w:r>
      <w:r>
        <w:rPr>
          <w:rStyle w:val="Emphasis"/>
          <w:rFonts w:ascii="Book Antiqua" w:hAnsi="Book Antiqua"/>
          <w:i w:val="0"/>
        </w:rPr>
        <w:t>of not knowing what is the valid version of the constitution that should be used that the working</w:t>
      </w:r>
      <w:r w:rsidR="00922A26">
        <w:rPr>
          <w:rStyle w:val="Emphasis"/>
          <w:rFonts w:ascii="Book Antiqua" w:hAnsi="Book Antiqua"/>
          <w:i w:val="0"/>
        </w:rPr>
        <w:t xml:space="preserve"> party has undertaken its review and developed a range of recommendations.</w:t>
      </w:r>
    </w:p>
    <w:p w14:paraId="1F6F251B" w14:textId="77777777" w:rsidR="00922A26" w:rsidRDefault="00922A26">
      <w:pPr>
        <w:rPr>
          <w:rStyle w:val="Emphasis"/>
          <w:rFonts w:ascii="Book Antiqua" w:hAnsi="Book Antiqua"/>
          <w:i w:val="0"/>
        </w:rPr>
      </w:pPr>
      <w:r>
        <w:rPr>
          <w:rStyle w:val="Emphasis"/>
          <w:rFonts w:ascii="Book Antiqua" w:hAnsi="Book Antiqua"/>
          <w:i w:val="0"/>
        </w:rPr>
        <w:lastRenderedPageBreak/>
        <w:t xml:space="preserve">The working party notes that if DSRA was being incorporated in 2018 in all likelihood the MRs would form the basis of the rules of the </w:t>
      </w:r>
      <w:r w:rsidR="00DD13E1">
        <w:rPr>
          <w:rStyle w:val="Emphasis"/>
          <w:rFonts w:ascii="Book Antiqua" w:hAnsi="Book Antiqua"/>
          <w:i w:val="0"/>
        </w:rPr>
        <w:t xml:space="preserve">new </w:t>
      </w:r>
      <w:r>
        <w:rPr>
          <w:rStyle w:val="Emphasis"/>
          <w:rFonts w:ascii="Book Antiqua" w:hAnsi="Book Antiqua"/>
          <w:i w:val="0"/>
        </w:rPr>
        <w:t xml:space="preserve">association, modified to suit the specific requirements of DSRA. </w:t>
      </w:r>
    </w:p>
    <w:p w14:paraId="05EF4199" w14:textId="77777777" w:rsidR="00922A26" w:rsidRDefault="00922A26">
      <w:pPr>
        <w:rPr>
          <w:rStyle w:val="Emphasis"/>
          <w:rFonts w:ascii="Book Antiqua" w:hAnsi="Book Antiqua"/>
          <w:i w:val="0"/>
        </w:rPr>
      </w:pPr>
      <w:r>
        <w:rPr>
          <w:rStyle w:val="Emphasis"/>
          <w:rFonts w:ascii="Book Antiqua" w:hAnsi="Book Antiqua"/>
          <w:i w:val="0"/>
        </w:rPr>
        <w:t>The MRs represent a far more comprehensive set of rules than the existing DSRA constitution, no matter which version is referred to and as already noted they already apply to DSRA.</w:t>
      </w:r>
    </w:p>
    <w:p w14:paraId="46B43451" w14:textId="77777777" w:rsidR="00922A26" w:rsidRDefault="00922A26">
      <w:pPr>
        <w:rPr>
          <w:rStyle w:val="Emphasis"/>
          <w:rFonts w:ascii="Book Antiqua" w:hAnsi="Book Antiqua"/>
          <w:i w:val="0"/>
        </w:rPr>
      </w:pPr>
      <w:r>
        <w:rPr>
          <w:rStyle w:val="Emphasis"/>
          <w:rFonts w:ascii="Book Antiqua" w:hAnsi="Book Antiqua"/>
          <w:i w:val="0"/>
        </w:rPr>
        <w:t>Annexed and marked “E” is a copy of the MRs with the clauses of the “current constitution” pasted into the relevant MRS as best as possible. This annexure is included for ease of matching existing clauses of the constitution to the MRs.</w:t>
      </w:r>
    </w:p>
    <w:p w14:paraId="0A47E7F0" w14:textId="77777777" w:rsidR="00922A26" w:rsidRDefault="00AC59A0">
      <w:pPr>
        <w:rPr>
          <w:rStyle w:val="Emphasis"/>
          <w:rFonts w:ascii="Book Antiqua" w:hAnsi="Book Antiqua"/>
          <w:b/>
          <w:i w:val="0"/>
        </w:rPr>
      </w:pPr>
      <w:r>
        <w:rPr>
          <w:rStyle w:val="Emphasis"/>
          <w:rFonts w:ascii="Book Antiqua" w:hAnsi="Book Antiqua"/>
          <w:b/>
          <w:i w:val="0"/>
        </w:rPr>
        <w:t>Recommendation</w:t>
      </w:r>
    </w:p>
    <w:p w14:paraId="039993DE" w14:textId="77777777" w:rsidR="00AC59A0" w:rsidRDefault="00AC59A0">
      <w:pPr>
        <w:rPr>
          <w:rStyle w:val="Emphasis"/>
          <w:rFonts w:ascii="Book Antiqua" w:hAnsi="Book Antiqua"/>
          <w:i w:val="0"/>
        </w:rPr>
      </w:pPr>
      <w:r>
        <w:rPr>
          <w:rStyle w:val="Emphasis"/>
          <w:rFonts w:ascii="Book Antiqua" w:hAnsi="Book Antiqua"/>
          <w:i w:val="0"/>
        </w:rPr>
        <w:t>The working party recommends that DSRA adopts a “</w:t>
      </w:r>
      <w:r w:rsidR="00440C49">
        <w:rPr>
          <w:rStyle w:val="Emphasis"/>
          <w:rFonts w:ascii="Book Antiqua" w:hAnsi="Book Antiqua"/>
          <w:i w:val="0"/>
        </w:rPr>
        <w:t>Greenfields</w:t>
      </w:r>
      <w:r>
        <w:rPr>
          <w:rStyle w:val="Emphasis"/>
          <w:rFonts w:ascii="Book Antiqua" w:hAnsi="Book Antiqua"/>
          <w:i w:val="0"/>
        </w:rPr>
        <w:t>” approach and develops a revised constitution based on the MRs, modified to suit DSRA circumstances and needs.</w:t>
      </w:r>
    </w:p>
    <w:p w14:paraId="35CA6F89" w14:textId="77777777" w:rsidR="00AC59A0" w:rsidRDefault="00F94A1C">
      <w:pPr>
        <w:rPr>
          <w:rStyle w:val="Emphasis"/>
          <w:rFonts w:ascii="Book Antiqua" w:hAnsi="Book Antiqua"/>
          <w:i w:val="0"/>
        </w:rPr>
      </w:pPr>
      <w:r>
        <w:rPr>
          <w:rStyle w:val="Emphasis"/>
          <w:rFonts w:ascii="Book Antiqua" w:hAnsi="Book Antiqua"/>
          <w:i w:val="0"/>
        </w:rPr>
        <w:t>Annexed and marked “F” is a marked up version of the MRs showing a number of possible modifications to the MRs and highlighting a number of areas where the committee should consider seeking community input.</w:t>
      </w:r>
    </w:p>
    <w:p w14:paraId="3225A3FA" w14:textId="77777777" w:rsidR="00F94A1C" w:rsidRDefault="00F94A1C">
      <w:pPr>
        <w:rPr>
          <w:rStyle w:val="Emphasis"/>
          <w:rFonts w:ascii="Book Antiqua" w:hAnsi="Book Antiqua"/>
          <w:i w:val="0"/>
        </w:rPr>
      </w:pPr>
      <w:r>
        <w:rPr>
          <w:rStyle w:val="Emphasis"/>
          <w:rFonts w:ascii="Book Antiqua" w:hAnsi="Book Antiqua"/>
          <w:i w:val="0"/>
        </w:rPr>
        <w:t>It is recommended that MRs ultimately deemed not suitable for DSRA are not deleted but simply noted as “not adopted”. Any modifications made to the MRs should be noted as “modified” with the modification inserted.</w:t>
      </w:r>
    </w:p>
    <w:p w14:paraId="6910730D" w14:textId="77777777" w:rsidR="00F94A1C" w:rsidRDefault="00F94A1C">
      <w:pPr>
        <w:rPr>
          <w:rStyle w:val="Emphasis"/>
          <w:rFonts w:ascii="Book Antiqua" w:hAnsi="Book Antiqua"/>
          <w:i w:val="0"/>
        </w:rPr>
      </w:pPr>
      <w:r>
        <w:rPr>
          <w:rStyle w:val="Emphasis"/>
          <w:rFonts w:ascii="Book Antiqua" w:hAnsi="Book Antiqua"/>
          <w:i w:val="0"/>
        </w:rPr>
        <w:t>The rationale for the above recommendation is to enable future committees and members to be able keep track of any subsequent approved changes to Rules and avoid the current situation</w:t>
      </w:r>
      <w:r w:rsidR="001D0C90">
        <w:rPr>
          <w:rStyle w:val="Emphasis"/>
          <w:rFonts w:ascii="Book Antiqua" w:hAnsi="Book Antiqua"/>
          <w:i w:val="0"/>
        </w:rPr>
        <w:t xml:space="preserve"> of not knowing what version of the constitution is valid.</w:t>
      </w:r>
    </w:p>
    <w:p w14:paraId="371AB3A2" w14:textId="77777777" w:rsidR="001D0C90" w:rsidRDefault="001D0C90">
      <w:pPr>
        <w:rPr>
          <w:rStyle w:val="Emphasis"/>
          <w:rFonts w:ascii="Book Antiqua" w:hAnsi="Book Antiqua"/>
          <w:b/>
          <w:i w:val="0"/>
        </w:rPr>
      </w:pPr>
      <w:r w:rsidRPr="001D0C90">
        <w:rPr>
          <w:rStyle w:val="Emphasis"/>
          <w:rFonts w:ascii="Book Antiqua" w:hAnsi="Book Antiqua"/>
          <w:b/>
          <w:i w:val="0"/>
        </w:rPr>
        <w:t>Community/ Membership input</w:t>
      </w:r>
    </w:p>
    <w:p w14:paraId="166A15A3" w14:textId="77777777" w:rsidR="001D0C90" w:rsidRDefault="001D0C90">
      <w:pPr>
        <w:rPr>
          <w:rStyle w:val="Emphasis"/>
          <w:rFonts w:ascii="Book Antiqua" w:hAnsi="Book Antiqua"/>
          <w:i w:val="0"/>
        </w:rPr>
      </w:pPr>
      <w:r>
        <w:rPr>
          <w:rStyle w:val="Emphasis"/>
          <w:rFonts w:ascii="Book Antiqua" w:hAnsi="Book Antiqua"/>
          <w:i w:val="0"/>
        </w:rPr>
        <w:t>The specific areas which the working party has identified to date that should be subject to community consultation are-</w:t>
      </w:r>
    </w:p>
    <w:p w14:paraId="7ECCC223" w14:textId="77777777" w:rsidR="001D0C90" w:rsidRDefault="001D0C90" w:rsidP="001D0C90">
      <w:pPr>
        <w:pStyle w:val="ListParagraph"/>
        <w:numPr>
          <w:ilvl w:val="0"/>
          <w:numId w:val="1"/>
        </w:numPr>
        <w:rPr>
          <w:rFonts w:ascii="Book Antiqua" w:hAnsi="Book Antiqua"/>
          <w:iCs/>
        </w:rPr>
      </w:pPr>
      <w:r>
        <w:rPr>
          <w:rFonts w:ascii="Book Antiqua" w:hAnsi="Book Antiqua"/>
          <w:iCs/>
        </w:rPr>
        <w:t xml:space="preserve">Association name- is Dolphin Sands </w:t>
      </w:r>
      <w:r w:rsidRPr="001D0C90">
        <w:rPr>
          <w:rFonts w:ascii="Book Antiqua" w:hAnsi="Book Antiqua"/>
          <w:iCs/>
          <w:u w:val="single"/>
        </w:rPr>
        <w:t xml:space="preserve">Ratepayers </w:t>
      </w:r>
      <w:r>
        <w:rPr>
          <w:rFonts w:ascii="Book Antiqua" w:hAnsi="Book Antiqua"/>
          <w:iCs/>
        </w:rPr>
        <w:t>Association</w:t>
      </w:r>
      <w:r w:rsidR="00F71AA2">
        <w:rPr>
          <w:rFonts w:ascii="Book Antiqua" w:hAnsi="Book Antiqua"/>
          <w:iCs/>
        </w:rPr>
        <w:t xml:space="preserve"> still relevant or should it be more inclusive, such as Dolphin Sands Ratepayers and Residents Association, or perhaps Dolphin Sands Community Association?</w:t>
      </w:r>
    </w:p>
    <w:p w14:paraId="1040B433" w14:textId="77777777" w:rsidR="00C72534" w:rsidRPr="00C72534" w:rsidRDefault="00F71AA2" w:rsidP="001D0C90">
      <w:pPr>
        <w:pStyle w:val="ListParagraph"/>
        <w:numPr>
          <w:ilvl w:val="0"/>
          <w:numId w:val="1"/>
        </w:numPr>
        <w:rPr>
          <w:rFonts w:ascii="Book Antiqua" w:hAnsi="Book Antiqua"/>
          <w:iCs/>
          <w:color w:val="C00000"/>
        </w:rPr>
      </w:pPr>
      <w:r w:rsidRPr="00C72534">
        <w:rPr>
          <w:rFonts w:ascii="Book Antiqua" w:hAnsi="Book Antiqua"/>
          <w:iCs/>
        </w:rPr>
        <w:t>Depending on the outcome of the above are the Objects and Purpose as stated in the constitution still appropriate</w:t>
      </w:r>
      <w:r w:rsidR="005C7E7D" w:rsidRPr="00C72534">
        <w:rPr>
          <w:rFonts w:ascii="Book Antiqua" w:hAnsi="Book Antiqua"/>
          <w:iCs/>
        </w:rPr>
        <w:t xml:space="preserve"> </w:t>
      </w:r>
      <w:r w:rsidR="005C7E7D" w:rsidRPr="00C72534">
        <w:rPr>
          <w:rFonts w:ascii="Book Antiqua" w:hAnsi="Book Antiqua"/>
          <w:iCs/>
          <w:color w:val="C00000"/>
        </w:rPr>
        <w:t>and relevant</w:t>
      </w:r>
      <w:r w:rsidR="005C7E7D" w:rsidRPr="00C72534">
        <w:rPr>
          <w:rFonts w:ascii="Book Antiqua" w:hAnsi="Book Antiqua"/>
          <w:iCs/>
        </w:rPr>
        <w:t xml:space="preserve">? </w:t>
      </w:r>
      <w:r w:rsidR="005C7E7D" w:rsidRPr="00C72534">
        <w:rPr>
          <w:rFonts w:ascii="Book Antiqua" w:hAnsi="Book Antiqua"/>
          <w:iCs/>
          <w:color w:val="C00000"/>
        </w:rPr>
        <w:t>Is it necessary</w:t>
      </w:r>
      <w:r w:rsidR="00C72534" w:rsidRPr="00C72534">
        <w:rPr>
          <w:rFonts w:ascii="Book Antiqua" w:hAnsi="Book Antiqua"/>
          <w:iCs/>
          <w:color w:val="C00000"/>
        </w:rPr>
        <w:t xml:space="preserve"> or relevant</w:t>
      </w:r>
      <w:r w:rsidR="005C7E7D" w:rsidRPr="00C72534">
        <w:rPr>
          <w:rFonts w:ascii="Book Antiqua" w:hAnsi="Book Antiqua"/>
          <w:iCs/>
          <w:color w:val="C00000"/>
        </w:rPr>
        <w:t xml:space="preserve"> to have specific </w:t>
      </w:r>
      <w:r w:rsidR="00C72534" w:rsidRPr="00C72534">
        <w:rPr>
          <w:rFonts w:ascii="Book Antiqua" w:hAnsi="Book Antiqua"/>
          <w:iCs/>
          <w:color w:val="C00000"/>
        </w:rPr>
        <w:t>“</w:t>
      </w:r>
      <w:r w:rsidR="005C7E7D" w:rsidRPr="00C72534">
        <w:rPr>
          <w:rFonts w:ascii="Book Antiqua" w:hAnsi="Book Antiqua"/>
          <w:iCs/>
          <w:color w:val="C00000"/>
        </w:rPr>
        <w:t>Objects and Purpose</w:t>
      </w:r>
      <w:r w:rsidR="00C72534" w:rsidRPr="00C72534">
        <w:rPr>
          <w:rFonts w:ascii="Book Antiqua" w:hAnsi="Book Antiqua"/>
          <w:iCs/>
          <w:color w:val="C00000"/>
        </w:rPr>
        <w:t>”</w:t>
      </w:r>
      <w:r w:rsidR="005C7E7D" w:rsidRPr="00C72534">
        <w:rPr>
          <w:rFonts w:ascii="Book Antiqua" w:hAnsi="Book Antiqua"/>
          <w:iCs/>
          <w:color w:val="C00000"/>
        </w:rPr>
        <w:t>?</w:t>
      </w:r>
      <w:r w:rsidR="00C72534" w:rsidRPr="00C72534">
        <w:rPr>
          <w:rFonts w:ascii="Book Antiqua" w:hAnsi="Book Antiqua"/>
          <w:iCs/>
          <w:color w:val="C00000"/>
        </w:rPr>
        <w:t xml:space="preserve"> </w:t>
      </w:r>
      <w:r w:rsidRPr="00C72534">
        <w:rPr>
          <w:rFonts w:ascii="Book Antiqua" w:hAnsi="Book Antiqua"/>
          <w:iCs/>
        </w:rPr>
        <w:t>In considering this issue it should be noted that the MRs contain a list of additional objects and purposes which supplement basic objects.</w:t>
      </w:r>
      <w:r w:rsidR="00C72534" w:rsidRPr="00C72534">
        <w:rPr>
          <w:rFonts w:ascii="Book Antiqua" w:hAnsi="Book Antiqua"/>
          <w:iCs/>
          <w:color w:val="C00000"/>
        </w:rPr>
        <w:t xml:space="preserve"> </w:t>
      </w:r>
    </w:p>
    <w:p w14:paraId="1D4DC931" w14:textId="77777777" w:rsidR="00F71AA2" w:rsidRDefault="00C72534" w:rsidP="005E3DD8">
      <w:pPr>
        <w:pStyle w:val="ListParagraph"/>
        <w:numPr>
          <w:ilvl w:val="0"/>
          <w:numId w:val="1"/>
        </w:numPr>
        <w:rPr>
          <w:rFonts w:ascii="Book Antiqua" w:hAnsi="Book Antiqua"/>
          <w:iCs/>
          <w:color w:val="C00000"/>
        </w:rPr>
      </w:pPr>
      <w:r w:rsidRPr="00C72534">
        <w:rPr>
          <w:rFonts w:ascii="Book Antiqua" w:hAnsi="Book Antiqua"/>
          <w:iCs/>
          <w:color w:val="C00000"/>
        </w:rPr>
        <w:t xml:space="preserve">Is the concept of “Territory “as defined in the current constitution necessary and or relevant. </w:t>
      </w:r>
      <w:r w:rsidR="005E3DD8">
        <w:rPr>
          <w:rFonts w:ascii="Book Antiqua" w:hAnsi="Book Antiqua"/>
          <w:iCs/>
          <w:color w:val="C00000"/>
        </w:rPr>
        <w:t>What</w:t>
      </w:r>
      <w:r>
        <w:rPr>
          <w:rFonts w:ascii="Book Antiqua" w:hAnsi="Book Antiqua"/>
          <w:iCs/>
          <w:color w:val="C00000"/>
        </w:rPr>
        <w:t xml:space="preserve"> does it really mean?</w:t>
      </w:r>
      <w:r w:rsidR="005E3DD8">
        <w:rPr>
          <w:rFonts w:ascii="Book Antiqua" w:hAnsi="Book Antiqua"/>
          <w:iCs/>
          <w:color w:val="C00000"/>
        </w:rPr>
        <w:t xml:space="preserve"> </w:t>
      </w:r>
      <w:r w:rsidRPr="00C72534">
        <w:rPr>
          <w:rFonts w:ascii="Book Antiqua" w:hAnsi="Book Antiqua"/>
          <w:iCs/>
          <w:color w:val="C00000"/>
        </w:rPr>
        <w:t xml:space="preserve">Can it be </w:t>
      </w:r>
      <w:r>
        <w:rPr>
          <w:rFonts w:ascii="Book Antiqua" w:hAnsi="Book Antiqua"/>
          <w:iCs/>
          <w:color w:val="C00000"/>
        </w:rPr>
        <w:t>excluded</w:t>
      </w:r>
      <w:r w:rsidR="005E3DD8">
        <w:rPr>
          <w:rFonts w:ascii="Book Antiqua" w:hAnsi="Book Antiqua"/>
          <w:iCs/>
          <w:color w:val="C00000"/>
        </w:rPr>
        <w:t xml:space="preserve"> from</w:t>
      </w:r>
      <w:r w:rsidRPr="00C72534">
        <w:rPr>
          <w:rFonts w:ascii="Book Antiqua" w:hAnsi="Book Antiqua"/>
          <w:iCs/>
          <w:color w:val="C00000"/>
        </w:rPr>
        <w:t xml:space="preserve"> the new constitution?</w:t>
      </w:r>
    </w:p>
    <w:p w14:paraId="4C2C2D46" w14:textId="77777777" w:rsidR="002F77B7" w:rsidRDefault="002F77B7" w:rsidP="005E3DD8">
      <w:pPr>
        <w:pStyle w:val="ListParagraph"/>
        <w:numPr>
          <w:ilvl w:val="0"/>
          <w:numId w:val="1"/>
        </w:numPr>
        <w:rPr>
          <w:rFonts w:ascii="Book Antiqua" w:hAnsi="Book Antiqua"/>
          <w:iCs/>
          <w:color w:val="C00000"/>
        </w:rPr>
      </w:pPr>
      <w:r>
        <w:rPr>
          <w:rFonts w:ascii="Book Antiqua" w:hAnsi="Book Antiqua"/>
          <w:iCs/>
          <w:color w:val="C00000"/>
        </w:rPr>
        <w:t>Office Bearers- the constitution has a combined office of Treasurer/Secretary. Should this be split into two separate positions and elected committee members reduced to two?</w:t>
      </w:r>
    </w:p>
    <w:p w14:paraId="55D1B36A" w14:textId="77777777" w:rsidR="002F77B7" w:rsidRDefault="002F77B7" w:rsidP="002F77B7">
      <w:pPr>
        <w:pStyle w:val="ListParagraph"/>
        <w:rPr>
          <w:rFonts w:ascii="Book Antiqua" w:hAnsi="Book Antiqua"/>
          <w:iCs/>
          <w:color w:val="C00000"/>
        </w:rPr>
      </w:pPr>
      <w:r>
        <w:rPr>
          <w:rFonts w:ascii="Book Antiqua" w:hAnsi="Book Antiqua"/>
          <w:iCs/>
          <w:color w:val="C00000"/>
        </w:rPr>
        <w:t xml:space="preserve">The current constitution specifies that office is held for two years with certain positions going to election on even years and other positions going to election on odd </w:t>
      </w:r>
      <w:r>
        <w:rPr>
          <w:rFonts w:ascii="Book Antiqua" w:hAnsi="Book Antiqua"/>
          <w:iCs/>
          <w:color w:val="C00000"/>
        </w:rPr>
        <w:lastRenderedPageBreak/>
        <w:t>years. Presumably this aids in the continuity of knowledge within the committee on a year to year basis. Should this system be retained or should all position</w:t>
      </w:r>
      <w:r w:rsidR="00D25C2A">
        <w:rPr>
          <w:rFonts w:ascii="Book Antiqua" w:hAnsi="Book Antiqua"/>
          <w:iCs/>
          <w:color w:val="C00000"/>
        </w:rPr>
        <w:t>s be subject to annual election?</w:t>
      </w:r>
    </w:p>
    <w:p w14:paraId="68DCD34E" w14:textId="77777777" w:rsidR="002F77B7" w:rsidRPr="005E3DD8" w:rsidRDefault="002F77B7" w:rsidP="002F77B7">
      <w:pPr>
        <w:pStyle w:val="ListParagraph"/>
        <w:rPr>
          <w:rFonts w:ascii="Book Antiqua" w:hAnsi="Book Antiqua"/>
          <w:iCs/>
          <w:color w:val="C00000"/>
        </w:rPr>
      </w:pPr>
    </w:p>
    <w:p w14:paraId="7AA34374" w14:textId="77777777" w:rsidR="00FD2DCD" w:rsidRDefault="00F71AA2" w:rsidP="00FD2DCD">
      <w:pPr>
        <w:pStyle w:val="ListParagraph"/>
        <w:numPr>
          <w:ilvl w:val="0"/>
          <w:numId w:val="1"/>
        </w:numPr>
        <w:rPr>
          <w:rFonts w:ascii="Book Antiqua" w:hAnsi="Book Antiqua"/>
          <w:iCs/>
        </w:rPr>
      </w:pPr>
      <w:r>
        <w:rPr>
          <w:rFonts w:ascii="Book Antiqua" w:hAnsi="Book Antiqua"/>
          <w:iCs/>
        </w:rPr>
        <w:t>Membership of the association</w:t>
      </w:r>
      <w:r w:rsidR="00F525A0">
        <w:rPr>
          <w:rFonts w:ascii="Book Antiqua" w:hAnsi="Book Antiqua"/>
          <w:iCs/>
        </w:rPr>
        <w:t xml:space="preserve"> and voting rights- Pursuant to the current constitution all residents and ratepayers are deemed to be members of the association. However </w:t>
      </w:r>
      <w:r w:rsidR="00FD2DCD">
        <w:rPr>
          <w:rFonts w:ascii="Book Antiqua" w:hAnsi="Book Antiqua"/>
          <w:iCs/>
        </w:rPr>
        <w:t>only financial members may vote on an association issue.</w:t>
      </w:r>
    </w:p>
    <w:p w14:paraId="645FBD76" w14:textId="77777777" w:rsidR="00FD2DCD" w:rsidRDefault="00FD2DCD" w:rsidP="00FD2DCD">
      <w:pPr>
        <w:pStyle w:val="ListParagraph"/>
        <w:rPr>
          <w:rFonts w:ascii="Book Antiqua" w:hAnsi="Book Antiqua"/>
          <w:iCs/>
        </w:rPr>
      </w:pPr>
      <w:r>
        <w:rPr>
          <w:rFonts w:ascii="Book Antiqua" w:hAnsi="Book Antiqua"/>
          <w:iCs/>
        </w:rPr>
        <w:t>This is perhaps the most challenging aspect of the review of the constitution.</w:t>
      </w:r>
    </w:p>
    <w:p w14:paraId="47F44FAD" w14:textId="77777777" w:rsidR="00FD2DCD" w:rsidRDefault="00FD2DCD" w:rsidP="00FD2DCD">
      <w:pPr>
        <w:pStyle w:val="ListParagraph"/>
        <w:rPr>
          <w:rFonts w:ascii="Book Antiqua" w:hAnsi="Book Antiqua"/>
          <w:iCs/>
        </w:rPr>
      </w:pPr>
    </w:p>
    <w:p w14:paraId="02A18AB3" w14:textId="77777777" w:rsidR="00FD2DCD" w:rsidRDefault="00FD2DCD" w:rsidP="00FD2DCD">
      <w:pPr>
        <w:pStyle w:val="ListParagraph"/>
        <w:numPr>
          <w:ilvl w:val="0"/>
          <w:numId w:val="2"/>
        </w:numPr>
        <w:rPr>
          <w:rFonts w:ascii="Book Antiqua" w:hAnsi="Book Antiqua"/>
          <w:iCs/>
        </w:rPr>
      </w:pPr>
      <w:r>
        <w:rPr>
          <w:rFonts w:ascii="Book Antiqua" w:hAnsi="Book Antiqua"/>
          <w:iCs/>
        </w:rPr>
        <w:t>Is DSRA a ratepayers association or is it a “community” association?</w:t>
      </w:r>
    </w:p>
    <w:p w14:paraId="0A52A942" w14:textId="77777777" w:rsidR="00FD2DCD" w:rsidRDefault="00FD2DCD" w:rsidP="00FD2DCD">
      <w:pPr>
        <w:pStyle w:val="ListParagraph"/>
        <w:numPr>
          <w:ilvl w:val="0"/>
          <w:numId w:val="2"/>
        </w:numPr>
        <w:rPr>
          <w:rFonts w:ascii="Book Antiqua" w:hAnsi="Book Antiqua"/>
          <w:iCs/>
        </w:rPr>
      </w:pPr>
      <w:r>
        <w:rPr>
          <w:rFonts w:ascii="Book Antiqua" w:hAnsi="Book Antiqua"/>
          <w:iCs/>
        </w:rPr>
        <w:t>Should membership and therefore voting rights be limited to only financial members?</w:t>
      </w:r>
    </w:p>
    <w:p w14:paraId="2033ED3F" w14:textId="77777777" w:rsidR="00FD2DCD" w:rsidRDefault="00FD2DCD" w:rsidP="00FD2DCD">
      <w:pPr>
        <w:pStyle w:val="ListParagraph"/>
        <w:numPr>
          <w:ilvl w:val="0"/>
          <w:numId w:val="2"/>
        </w:numPr>
        <w:rPr>
          <w:rFonts w:ascii="Book Antiqua" w:hAnsi="Book Antiqua"/>
          <w:iCs/>
        </w:rPr>
      </w:pPr>
      <w:r>
        <w:rPr>
          <w:rFonts w:ascii="Book Antiqua" w:hAnsi="Book Antiqua"/>
          <w:iCs/>
        </w:rPr>
        <w:t xml:space="preserve">Is membership to be defined by reference to property ownership </w:t>
      </w:r>
      <w:r w:rsidR="00F93AEF">
        <w:rPr>
          <w:rFonts w:ascii="Book Antiqua" w:hAnsi="Book Antiqua"/>
          <w:iCs/>
        </w:rPr>
        <w:t xml:space="preserve">and </w:t>
      </w:r>
      <w:r>
        <w:rPr>
          <w:rFonts w:ascii="Book Antiqua" w:hAnsi="Book Antiqua"/>
          <w:iCs/>
        </w:rPr>
        <w:t>or residency?</w:t>
      </w:r>
    </w:p>
    <w:p w14:paraId="03215110" w14:textId="77777777" w:rsidR="00FD2DCD" w:rsidRDefault="00FD2DCD" w:rsidP="00FD2DCD">
      <w:pPr>
        <w:pStyle w:val="ListParagraph"/>
        <w:numPr>
          <w:ilvl w:val="0"/>
          <w:numId w:val="2"/>
        </w:numPr>
        <w:rPr>
          <w:rFonts w:ascii="Book Antiqua" w:hAnsi="Book Antiqua"/>
          <w:iCs/>
        </w:rPr>
      </w:pPr>
      <w:r>
        <w:rPr>
          <w:rFonts w:ascii="Book Antiqua" w:hAnsi="Book Antiqua"/>
          <w:iCs/>
        </w:rPr>
        <w:t xml:space="preserve">If membership is to be related to ownership </w:t>
      </w:r>
      <w:r w:rsidR="00F93AEF">
        <w:rPr>
          <w:rFonts w:ascii="Book Antiqua" w:hAnsi="Book Antiqua"/>
          <w:iCs/>
        </w:rPr>
        <w:t xml:space="preserve">and </w:t>
      </w:r>
      <w:r>
        <w:rPr>
          <w:rFonts w:ascii="Book Antiqua" w:hAnsi="Book Antiqua"/>
          <w:iCs/>
        </w:rPr>
        <w:t xml:space="preserve">or residency how many memberships </w:t>
      </w:r>
      <w:r w:rsidR="00F93AEF">
        <w:rPr>
          <w:rFonts w:ascii="Book Antiqua" w:hAnsi="Book Antiqua"/>
          <w:iCs/>
        </w:rPr>
        <w:t>should be specified per property? Is it perhaps limited to one per property or should the concept of universal suffrage be embraced?</w:t>
      </w:r>
    </w:p>
    <w:p w14:paraId="302F8C79" w14:textId="77777777" w:rsidR="00F93AEF" w:rsidRDefault="00F93AEF" w:rsidP="00FD2DCD">
      <w:pPr>
        <w:pStyle w:val="ListParagraph"/>
        <w:numPr>
          <w:ilvl w:val="0"/>
          <w:numId w:val="2"/>
        </w:numPr>
        <w:rPr>
          <w:rFonts w:ascii="Book Antiqua" w:hAnsi="Book Antiqua"/>
          <w:iCs/>
        </w:rPr>
      </w:pPr>
      <w:r>
        <w:rPr>
          <w:rFonts w:ascii="Book Antiqua" w:hAnsi="Book Antiqua"/>
          <w:iCs/>
        </w:rPr>
        <w:t>Can both a landlord and tenant be members?</w:t>
      </w:r>
    </w:p>
    <w:p w14:paraId="2B2CBBE4" w14:textId="77777777" w:rsidR="00F93AEF" w:rsidRDefault="00F93AEF" w:rsidP="00FD2DCD">
      <w:pPr>
        <w:pStyle w:val="ListParagraph"/>
        <w:numPr>
          <w:ilvl w:val="0"/>
          <w:numId w:val="2"/>
        </w:numPr>
        <w:rPr>
          <w:rFonts w:ascii="Book Antiqua" w:hAnsi="Book Antiqua"/>
          <w:iCs/>
        </w:rPr>
      </w:pPr>
      <w:r>
        <w:rPr>
          <w:rFonts w:ascii="Book Antiqua" w:hAnsi="Book Antiqua"/>
          <w:iCs/>
        </w:rPr>
        <w:t>How do you balance equity and administrative convenience?</w:t>
      </w:r>
    </w:p>
    <w:p w14:paraId="6E30D5F5" w14:textId="77777777" w:rsidR="00F93AEF" w:rsidRDefault="00F93AEF" w:rsidP="00FD2DCD">
      <w:pPr>
        <w:pStyle w:val="ListParagraph"/>
        <w:numPr>
          <w:ilvl w:val="0"/>
          <w:numId w:val="2"/>
        </w:numPr>
        <w:rPr>
          <w:rFonts w:ascii="Book Antiqua" w:hAnsi="Book Antiqua"/>
          <w:iCs/>
        </w:rPr>
      </w:pPr>
      <w:r>
        <w:rPr>
          <w:rFonts w:ascii="Book Antiqua" w:hAnsi="Book Antiqua"/>
          <w:iCs/>
        </w:rPr>
        <w:t>Should it be the case of one property, one membership, one vote? For tenanted properties this can be an issue to be resolved between landlord and tenant as to who has membership and voting rights without the need for the association to be involved.</w:t>
      </w:r>
    </w:p>
    <w:p w14:paraId="628CFC12" w14:textId="77777777" w:rsidR="00F93AEF" w:rsidRDefault="00F93AEF" w:rsidP="00FD2DCD">
      <w:pPr>
        <w:pStyle w:val="ListParagraph"/>
        <w:numPr>
          <w:ilvl w:val="0"/>
          <w:numId w:val="2"/>
        </w:numPr>
        <w:rPr>
          <w:rFonts w:ascii="Book Antiqua" w:hAnsi="Book Antiqua"/>
          <w:iCs/>
        </w:rPr>
      </w:pPr>
      <w:r>
        <w:rPr>
          <w:rFonts w:ascii="Book Antiqua" w:hAnsi="Book Antiqua"/>
          <w:iCs/>
        </w:rPr>
        <w:t>Should it be the case that anyone who can establish that they are a property owner or a resident can take out membership and vote?</w:t>
      </w:r>
      <w:r w:rsidR="009B14DF">
        <w:rPr>
          <w:rFonts w:ascii="Book Antiqua" w:hAnsi="Book Antiqua"/>
          <w:iCs/>
        </w:rPr>
        <w:t xml:space="preserve"> How does equity prevail when title might be held in multiple names and possibly all title holders are able to join and vote versus the situation where title is held in one name and therefore only one membership and one vote. Likewise a property might be tenanted by 4 people who are able to establish that they are all residents and therefore entitled to membership. How does the association establish the bona fides of any party wishing to take out membership. Administrative convenience has to cut in somewhere!</w:t>
      </w:r>
    </w:p>
    <w:p w14:paraId="55AF1B86" w14:textId="77777777" w:rsidR="009B14DF" w:rsidRDefault="009B14DF" w:rsidP="00FD2DCD">
      <w:pPr>
        <w:pStyle w:val="ListParagraph"/>
        <w:numPr>
          <w:ilvl w:val="0"/>
          <w:numId w:val="2"/>
        </w:numPr>
        <w:rPr>
          <w:rFonts w:ascii="Book Antiqua" w:hAnsi="Book Antiqua"/>
          <w:iCs/>
        </w:rPr>
      </w:pPr>
      <w:r>
        <w:rPr>
          <w:rFonts w:ascii="Book Antiqua" w:hAnsi="Book Antiqua"/>
          <w:iCs/>
        </w:rPr>
        <w:t>It is understood that an amendment to the constitution in relation to clause 5 Membership was purportedly passed at the GM held in January 2017. That amendment appears not to have been made in accord with clause 11 of the constitution and the amendment was not registered with the Commissioner of Corporate Affairs and is therefore of no effect.</w:t>
      </w:r>
    </w:p>
    <w:p w14:paraId="39BFCD7B" w14:textId="77777777" w:rsidR="009B14DF" w:rsidRDefault="009B14DF" w:rsidP="009B14DF">
      <w:pPr>
        <w:pStyle w:val="ListParagraph"/>
        <w:ind w:left="1080"/>
        <w:rPr>
          <w:rFonts w:ascii="Book Antiqua" w:hAnsi="Book Antiqua"/>
          <w:iCs/>
        </w:rPr>
      </w:pPr>
      <w:r>
        <w:rPr>
          <w:rFonts w:ascii="Book Antiqua" w:hAnsi="Book Antiqua"/>
          <w:iCs/>
        </w:rPr>
        <w:t>That amendment purported to allow up to two memberships per property</w:t>
      </w:r>
      <w:r w:rsidR="007B3DDD">
        <w:rPr>
          <w:rFonts w:ascii="Book Antiqua" w:hAnsi="Book Antiqua"/>
          <w:iCs/>
        </w:rPr>
        <w:t>, being either a ratepayer and spouse or partner, a resident and spouse or partner, or a ratepayer and spouse or partner.</w:t>
      </w:r>
      <w:bookmarkStart w:id="0" w:name="_GoBack"/>
      <w:bookmarkEnd w:id="0"/>
    </w:p>
    <w:p w14:paraId="0E3AAD72" w14:textId="77777777" w:rsidR="007B3DDD" w:rsidRPr="00FD2DCD" w:rsidRDefault="007B3DDD" w:rsidP="009B14DF">
      <w:pPr>
        <w:pStyle w:val="ListParagraph"/>
        <w:ind w:left="1080"/>
        <w:rPr>
          <w:rFonts w:ascii="Book Antiqua" w:hAnsi="Book Antiqua"/>
          <w:iCs/>
        </w:rPr>
      </w:pPr>
      <w:r>
        <w:rPr>
          <w:rFonts w:ascii="Book Antiqua" w:hAnsi="Book Antiqua"/>
          <w:iCs/>
        </w:rPr>
        <w:t xml:space="preserve">Membership fees were altered at the same GM to allow a second vote to be purchased for payment of an additional $5. It is understood that the intention was that the additional $5 fee related to the spouse or partner membership </w:t>
      </w:r>
      <w:r>
        <w:rPr>
          <w:rFonts w:ascii="Book Antiqua" w:hAnsi="Book Antiqua"/>
          <w:iCs/>
        </w:rPr>
        <w:lastRenderedPageBreak/>
        <w:t>alteration mentioned above. Again this raises the issue of equity if a property owner/ resident has no partner or spouse.</w:t>
      </w:r>
    </w:p>
    <w:sectPr w:rsidR="007B3DDD" w:rsidRPr="00FD2DCD" w:rsidSect="00C41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753BF"/>
    <w:multiLevelType w:val="hybridMultilevel"/>
    <w:tmpl w:val="F932A0DC"/>
    <w:lvl w:ilvl="0" w:tplc="9110AD3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70B75C73"/>
    <w:multiLevelType w:val="hybridMultilevel"/>
    <w:tmpl w:val="3F1CA7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73943"/>
    <w:rsid w:val="00067586"/>
    <w:rsid w:val="000F1377"/>
    <w:rsid w:val="00106895"/>
    <w:rsid w:val="001D0C90"/>
    <w:rsid w:val="00274CC1"/>
    <w:rsid w:val="0029299E"/>
    <w:rsid w:val="002F77B7"/>
    <w:rsid w:val="00440C49"/>
    <w:rsid w:val="005C7E7D"/>
    <w:rsid w:val="005E3DD8"/>
    <w:rsid w:val="006E4E58"/>
    <w:rsid w:val="007405AF"/>
    <w:rsid w:val="007B3DDD"/>
    <w:rsid w:val="008E4561"/>
    <w:rsid w:val="00922A26"/>
    <w:rsid w:val="009B14DF"/>
    <w:rsid w:val="00A11E7F"/>
    <w:rsid w:val="00AB11D9"/>
    <w:rsid w:val="00AC59A0"/>
    <w:rsid w:val="00AF3C55"/>
    <w:rsid w:val="00B73943"/>
    <w:rsid w:val="00C02C54"/>
    <w:rsid w:val="00C2716D"/>
    <w:rsid w:val="00C41D8B"/>
    <w:rsid w:val="00C72534"/>
    <w:rsid w:val="00D25C2A"/>
    <w:rsid w:val="00DA1C88"/>
    <w:rsid w:val="00DD13E1"/>
    <w:rsid w:val="00EA10D5"/>
    <w:rsid w:val="00F312F2"/>
    <w:rsid w:val="00F525A0"/>
    <w:rsid w:val="00F71AA2"/>
    <w:rsid w:val="00F93AEF"/>
    <w:rsid w:val="00F94A1C"/>
    <w:rsid w:val="00FA3BAA"/>
    <w:rsid w:val="00FD2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9262"/>
  <w15:docId w15:val="{C94378B4-C15A-4B70-A6E4-495EB279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561"/>
    <w:rPr>
      <w:strike w:val="0"/>
      <w:dstrike w:val="0"/>
      <w:color w:val="0000FF"/>
      <w:u w:val="none"/>
      <w:effect w:val="none"/>
    </w:rPr>
  </w:style>
  <w:style w:type="character" w:styleId="Emphasis">
    <w:name w:val="Emphasis"/>
    <w:basedOn w:val="DefaultParagraphFont"/>
    <w:uiPriority w:val="20"/>
    <w:qFormat/>
    <w:rsid w:val="008E4561"/>
    <w:rPr>
      <w:i/>
      <w:iCs/>
    </w:rPr>
  </w:style>
  <w:style w:type="paragraph" w:styleId="ListParagraph">
    <w:name w:val="List Paragraph"/>
    <w:basedOn w:val="Normal"/>
    <w:uiPriority w:val="34"/>
    <w:qFormat/>
    <w:rsid w:val="001D0C90"/>
    <w:pPr>
      <w:ind w:left="720"/>
      <w:contextualSpacing/>
    </w:pPr>
  </w:style>
  <w:style w:type="character" w:styleId="CommentReference">
    <w:name w:val="annotation reference"/>
    <w:basedOn w:val="DefaultParagraphFont"/>
    <w:uiPriority w:val="99"/>
    <w:semiHidden/>
    <w:unhideWhenUsed/>
    <w:rsid w:val="00AB11D9"/>
    <w:rPr>
      <w:sz w:val="16"/>
      <w:szCs w:val="16"/>
    </w:rPr>
  </w:style>
  <w:style w:type="paragraph" w:styleId="CommentText">
    <w:name w:val="annotation text"/>
    <w:basedOn w:val="Normal"/>
    <w:link w:val="CommentTextChar"/>
    <w:uiPriority w:val="99"/>
    <w:semiHidden/>
    <w:unhideWhenUsed/>
    <w:rsid w:val="00AB11D9"/>
    <w:pPr>
      <w:spacing w:line="240" w:lineRule="auto"/>
    </w:pPr>
    <w:rPr>
      <w:sz w:val="20"/>
      <w:szCs w:val="20"/>
    </w:rPr>
  </w:style>
  <w:style w:type="character" w:customStyle="1" w:styleId="CommentTextChar">
    <w:name w:val="Comment Text Char"/>
    <w:basedOn w:val="DefaultParagraphFont"/>
    <w:link w:val="CommentText"/>
    <w:uiPriority w:val="99"/>
    <w:semiHidden/>
    <w:rsid w:val="00AB11D9"/>
    <w:rPr>
      <w:sz w:val="20"/>
      <w:szCs w:val="20"/>
    </w:rPr>
  </w:style>
  <w:style w:type="paragraph" w:styleId="CommentSubject">
    <w:name w:val="annotation subject"/>
    <w:basedOn w:val="CommentText"/>
    <w:next w:val="CommentText"/>
    <w:link w:val="CommentSubjectChar"/>
    <w:uiPriority w:val="99"/>
    <w:semiHidden/>
    <w:unhideWhenUsed/>
    <w:rsid w:val="00AB11D9"/>
    <w:rPr>
      <w:b/>
      <w:bCs/>
    </w:rPr>
  </w:style>
  <w:style w:type="character" w:customStyle="1" w:styleId="CommentSubjectChar">
    <w:name w:val="Comment Subject Char"/>
    <w:basedOn w:val="CommentTextChar"/>
    <w:link w:val="CommentSubject"/>
    <w:uiPriority w:val="99"/>
    <w:semiHidden/>
    <w:rsid w:val="00AB11D9"/>
    <w:rPr>
      <w:b/>
      <w:bCs/>
      <w:sz w:val="20"/>
      <w:szCs w:val="20"/>
    </w:rPr>
  </w:style>
  <w:style w:type="paragraph" w:styleId="BalloonText">
    <w:name w:val="Balloon Text"/>
    <w:basedOn w:val="Normal"/>
    <w:link w:val="BalloonTextChar"/>
    <w:uiPriority w:val="99"/>
    <w:semiHidden/>
    <w:unhideWhenUsed/>
    <w:rsid w:val="00AB1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mer.tas.gov.au/registrations/incorporated_associ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Robyn Moore</cp:lastModifiedBy>
  <cp:revision>6</cp:revision>
  <dcterms:created xsi:type="dcterms:W3CDTF">2018-02-14T07:46:00Z</dcterms:created>
  <dcterms:modified xsi:type="dcterms:W3CDTF">2018-02-17T23:50:00Z</dcterms:modified>
</cp:coreProperties>
</file>